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9D8" w:rsidRDefault="00984EC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ПОСТАНОВЛЕНИЕ</w:t>
      </w:r>
    </w:p>
    <w:p w:rsidR="009649D8" w:rsidRDefault="00984EC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АДМИНИСТРАЦИИ КАРТАЛИНСКОГО МУНИЦИПАЛЬНОГО ОКРУГА</w:t>
      </w:r>
    </w:p>
    <w:p w:rsidR="009649D8" w:rsidRDefault="00984EC1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ЧЕЛЯБИНСКОЙ ОБЛАСТИ</w:t>
      </w:r>
    </w:p>
    <w:p w:rsidR="009649D8" w:rsidRDefault="009649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(Проект)</w:t>
      </w:r>
    </w:p>
    <w:p w:rsidR="009649D8" w:rsidRDefault="00984EC1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от__________ года № ____</w:t>
      </w:r>
    </w:p>
    <w:p w:rsidR="009649D8" w:rsidRDefault="009649D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оплате труда работников 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учреждений, 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Карталинского 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EC1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135 </w:t>
      </w:r>
      <w:r w:rsidRPr="00984EC1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>ого</w:t>
      </w:r>
      <w:r w:rsidRPr="00984EC1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 и Едиными рекомендациями по установлению на федеральном, региональном и местном уровнях систем оплаты труда работников муниципальных учреждений, утверждённых решением Российской трёхсторонней комиссией по регулированию социально-трудовых отношений от 26.12.2025 г. протокол № 11пр, в целях выполнения индикативных показателей в сфере образования,</w:t>
      </w:r>
    </w:p>
    <w:p w:rsidR="009649D8" w:rsidRDefault="00984EC1" w:rsidP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Администрация Карталинского муниципального округа Челябинской </w:t>
      </w:r>
      <w:proofErr w:type="gramStart"/>
      <w:r>
        <w:rPr>
          <w:rFonts w:ascii="Times New Roman" w:hAnsi="Times New Roman"/>
          <w:sz w:val="28"/>
          <w:szCs w:val="28"/>
        </w:rPr>
        <w:t>области  ПОСТАНОВЛЯЕТ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 Положение об оплате труда работников муниципальных учреждений, подведомственных Управлению образования Карталинского муниципального округа Челябинской области.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</w:t>
      </w:r>
      <w:r w:rsidR="00107F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 w:rsidR="00107F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с 01 января 2026 года: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Постановление администрации Карталинского муниципального района от 20.09.2024 года № 1145 «Об утверждении Положения об оплате труда работников муниципальных учреждений, подведомственных Управлению образования Карталинского муниципального района»;</w:t>
      </w:r>
    </w:p>
    <w:p w:rsidR="009649D8" w:rsidRDefault="00984EC1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2)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постановление администрации Карталинского муниципального района от 19.11.2024 года № 1402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20.09.2024г. № 1145»;</w:t>
      </w:r>
    </w:p>
    <w:p w:rsidR="009649D8" w:rsidRDefault="00984EC1">
      <w:pPr>
        <w:spacing w:after="0" w:line="240" w:lineRule="auto"/>
        <w:ind w:right="25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3) постановление администрации Карталинского муниципального района от 28.12.2024 г. № 1632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20.09.2024г. № 1145»;</w:t>
      </w:r>
    </w:p>
    <w:p w:rsidR="009649D8" w:rsidRDefault="00984EC1">
      <w:pPr>
        <w:spacing w:after="0" w:line="240" w:lineRule="auto"/>
        <w:ind w:right="253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      4) постановление администрации Карталинского муниципального района от 22.07.2025 г. № 595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20.09.2024г. № 1145».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Разместить настоящее постановление на официальном сайте Администрации Карталинского муниципального округа.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Организацию выполнения настоящего постановления возложить на начальника Управления образования Карталинского муниципального округа Челябинской области Крысову Т.С.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заместителя  </w:t>
      </w:r>
      <w:r w:rsidR="00107F6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</w:t>
      </w:r>
      <w:proofErr w:type="gramEnd"/>
      <w:r>
        <w:rPr>
          <w:rFonts w:ascii="Times New Roman" w:hAnsi="Times New Roman"/>
          <w:sz w:val="28"/>
          <w:szCs w:val="28"/>
        </w:rPr>
        <w:t xml:space="preserve">  Карталинского муниципального округа </w:t>
      </w:r>
      <w:r w:rsidR="00107F6D" w:rsidRPr="00107F6D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>
        <w:rPr>
          <w:rFonts w:ascii="Times New Roman" w:hAnsi="Times New Roman"/>
          <w:sz w:val="28"/>
          <w:szCs w:val="28"/>
        </w:rPr>
        <w:t>Верета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</w:t>
      </w:r>
      <w:bookmarkStart w:id="0" w:name="_GoBack"/>
      <w:bookmarkEnd w:id="0"/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распространяет своё действие на правоотношения, возникшие с 01 </w:t>
      </w:r>
      <w:r w:rsidR="00563ADE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2026 года.</w:t>
      </w:r>
    </w:p>
    <w:p w:rsidR="009649D8" w:rsidRDefault="009649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Карталинского</w:t>
      </w:r>
      <w:proofErr w:type="gramEnd"/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 Вдовин</w:t>
      </w:r>
    </w:p>
    <w:p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Согласовано: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Зам. главы КМО                                                                           В.Н.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Верета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Заместитель главы – начальник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Финансового управления КМО                                                   Н.Н.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Свертилова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9649D8" w:rsidRDefault="00984EC1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Правовой отдел                                                                              Г.Р. Макарова      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 Управления образования                                           Т.С. Крысова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КМО ЧО</w:t>
      </w: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Магамбетова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К.С.</w:t>
      </w: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дело-1, Управление образования-1, Зам. главы по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соц.вопросам</w:t>
      </w:r>
      <w:proofErr w:type="gramEnd"/>
      <w:r>
        <w:rPr>
          <w:rFonts w:ascii="Times New Roman" w:eastAsia="Times New Roman" w:hAnsi="Times New Roman"/>
          <w:sz w:val="24"/>
          <w:szCs w:val="24"/>
        </w:rPr>
        <w:t>-1, ГФУ-1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УТВЕРЖДЕНО</w:t>
      </w:r>
    </w:p>
    <w:p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постановлением </w:t>
      </w:r>
      <w:r w:rsidR="00107F6D"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дминистрации</w:t>
      </w:r>
    </w:p>
    <w:p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Карталинского муниципального округа</w:t>
      </w:r>
    </w:p>
    <w:p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Челябинской области</w:t>
      </w:r>
    </w:p>
    <w:p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 ____________года № _____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труда работников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учреждений, подведомственных 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образования Карталинского 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Челябинской области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Настоящее Положение об оплате труда работников муниципальных учреждений, подведомственных Управлению образования Карталинского муниципального округа Челябинской области, (далее именуется – Положение) разработано в соответствии </w:t>
      </w:r>
      <w:r w:rsidRPr="00984EC1">
        <w:rPr>
          <w:rFonts w:ascii="Times New Roman" w:hAnsi="Times New Roman"/>
          <w:sz w:val="28"/>
          <w:szCs w:val="28"/>
        </w:rPr>
        <w:t>со статьей 135 Трудового кодекса Российской Федерации и Едиными рекомендациями по установлению на федеральном, региональном и местном уровнях систем оплаты труда работников муниципальных учреждений, утверждённых решением Российской трёхсторонней комиссией по регулированию социально-трудовых отношений от 26.12.2025 г. протокол № 11пр</w:t>
      </w:r>
      <w:r>
        <w:rPr>
          <w:rFonts w:ascii="Times New Roman" w:hAnsi="Times New Roman"/>
          <w:sz w:val="28"/>
          <w:szCs w:val="28"/>
        </w:rPr>
        <w:t xml:space="preserve"> и другими нормативными правовыми актами Российской Федерации и Челябинской области, Карталинского муниципального округа Челябинской области, регулирующими вопросы оплаты труда, в том числе условия оплаты труда педагогических работников.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Система оплаты труда работников муниципальных учреждений, подведомственных Управлению образования Карталинского муниципального округа Челябинской области, (далее именуются – работники) устанавливается с учетом: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Единого тарифно-квалификационного справочника работ и профессий рабочих;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Тарифно-квалификационных характеристик по общеотраслевым профессиям рабочих;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3)Единого квалификационного справочника должностей руководителей, специалистов и служащих;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Государственных гарантий по оплате труда;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Перечня видов выплат компенсационного характера;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Перечня видов выплат стимулирующего характера;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настоящего Положения.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 xml:space="preserve">Система оплаты труда работников, установленная настоящим Положением, включает в себя размеры окладов (должностных окладов) работников в соответствии с профессиональными квалификационными группами (далее именуется – ПКГ), порядок и условия установления выплат </w:t>
      </w:r>
      <w:r>
        <w:rPr>
          <w:rFonts w:ascii="Times New Roman" w:hAnsi="Times New Roman"/>
          <w:sz w:val="28"/>
          <w:szCs w:val="28"/>
        </w:rPr>
        <w:lastRenderedPageBreak/>
        <w:t>компенсационного и стимулирующего характера, условия оплаты труда руководителя муниципального учреждения, подведомственного Управлению образования Карталинского муниципального округа Челябинской области (далее именуется – учреждение), заместителей руководителя учреждения, главного бухгалтера учреждения, порядок установления выплат стимулирующего характера руководителю учреждения.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Заработная плата работника учреждения включает в себя </w:t>
      </w:r>
      <w:proofErr w:type="gramStart"/>
      <w:r>
        <w:rPr>
          <w:rFonts w:ascii="Times New Roman" w:hAnsi="Times New Roman"/>
          <w:sz w:val="28"/>
          <w:szCs w:val="28"/>
        </w:rPr>
        <w:t>оклад  (</w:t>
      </w:r>
      <w:proofErr w:type="gramEnd"/>
      <w:r>
        <w:rPr>
          <w:rFonts w:ascii="Times New Roman" w:hAnsi="Times New Roman"/>
          <w:sz w:val="28"/>
          <w:szCs w:val="28"/>
        </w:rPr>
        <w:t>должностной оклад), компенсационные и стимулирующие выплаты и устанавливается в пределах бюджетных ассигнований, предусмотренных на оплату труда работников соответствующего учреждения.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Основные условия оплаты труда работников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Размер оклада (должностного оклада) работника устанавливается в соответствии с ПКГ, согласно приложениям 1-6 к настоящему Положению.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Оклад (должностной оклад) педагогическим работникам устанавливается за продолжительность рабочего времени (норму часов преподавательской работы за ставку заработной платы), установленную приказом Министерства </w:t>
      </w:r>
      <w:r w:rsidR="00F74538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Российской Федерации  </w:t>
      </w:r>
      <w:r w:rsidRPr="00F427E4">
        <w:rPr>
          <w:rFonts w:ascii="Times New Roman" w:hAnsi="Times New Roman"/>
          <w:sz w:val="28"/>
          <w:szCs w:val="28"/>
        </w:rPr>
        <w:t xml:space="preserve">от </w:t>
      </w:r>
      <w:r w:rsidR="00F74538" w:rsidRPr="00F427E4">
        <w:rPr>
          <w:rFonts w:ascii="Times New Roman" w:hAnsi="Times New Roman"/>
          <w:sz w:val="28"/>
          <w:szCs w:val="28"/>
        </w:rPr>
        <w:t>04</w:t>
      </w:r>
      <w:r w:rsidRPr="00F427E4">
        <w:rPr>
          <w:rFonts w:ascii="Times New Roman" w:hAnsi="Times New Roman"/>
          <w:sz w:val="28"/>
          <w:szCs w:val="28"/>
        </w:rPr>
        <w:t>.</w:t>
      </w:r>
      <w:r w:rsidR="00F74538" w:rsidRPr="00F427E4">
        <w:rPr>
          <w:rFonts w:ascii="Times New Roman" w:hAnsi="Times New Roman"/>
          <w:sz w:val="28"/>
          <w:szCs w:val="28"/>
        </w:rPr>
        <w:t>04</w:t>
      </w:r>
      <w:r w:rsidRPr="00F427E4">
        <w:rPr>
          <w:rFonts w:ascii="Times New Roman" w:hAnsi="Times New Roman"/>
          <w:sz w:val="28"/>
          <w:szCs w:val="28"/>
        </w:rPr>
        <w:t>.20</w:t>
      </w:r>
      <w:r w:rsidR="00F74538" w:rsidRPr="00F427E4">
        <w:rPr>
          <w:rFonts w:ascii="Times New Roman" w:hAnsi="Times New Roman"/>
          <w:sz w:val="28"/>
          <w:szCs w:val="28"/>
        </w:rPr>
        <w:t>25</w:t>
      </w:r>
      <w:r w:rsidRPr="00F427E4">
        <w:rPr>
          <w:rFonts w:ascii="Times New Roman" w:hAnsi="Times New Roman"/>
          <w:sz w:val="28"/>
          <w:szCs w:val="28"/>
        </w:rPr>
        <w:t xml:space="preserve"> года № </w:t>
      </w:r>
      <w:r w:rsidR="00F74538" w:rsidRPr="00F427E4">
        <w:rPr>
          <w:rFonts w:ascii="Times New Roman" w:hAnsi="Times New Roman"/>
          <w:sz w:val="28"/>
          <w:szCs w:val="28"/>
        </w:rPr>
        <w:t>2</w:t>
      </w:r>
      <w:r w:rsidR="00107F6D">
        <w:rPr>
          <w:rFonts w:ascii="Times New Roman" w:hAnsi="Times New Roman"/>
          <w:sz w:val="28"/>
          <w:szCs w:val="28"/>
        </w:rPr>
        <w:t>6</w:t>
      </w:r>
      <w:r w:rsidR="00F74538" w:rsidRPr="00F427E4">
        <w:rPr>
          <w:rFonts w:ascii="Times New Roman" w:hAnsi="Times New Roman"/>
          <w:sz w:val="28"/>
          <w:szCs w:val="28"/>
        </w:rPr>
        <w:t>9</w:t>
      </w:r>
      <w:r w:rsidRPr="00F427E4">
        <w:rPr>
          <w:rFonts w:ascii="Times New Roman" w:hAnsi="Times New Roman"/>
          <w:sz w:val="28"/>
          <w:szCs w:val="28"/>
        </w:rPr>
        <w:t xml:space="preserve"> «О продолжительности рабочего времени </w:t>
      </w:r>
      <w:r>
        <w:rPr>
          <w:rFonts w:ascii="Times New Roman" w:hAnsi="Times New Roman"/>
          <w:sz w:val="28"/>
          <w:szCs w:val="28"/>
        </w:rPr>
        <w:t xml:space="preserve">(нормах часов педагогической работы за ставку заработной платы) педагогических работников </w:t>
      </w:r>
      <w:r w:rsidR="00107F6D">
        <w:rPr>
          <w:rFonts w:ascii="Times New Roman" w:hAnsi="Times New Roman"/>
          <w:sz w:val="28"/>
          <w:szCs w:val="28"/>
        </w:rPr>
        <w:t xml:space="preserve">организаций, </w:t>
      </w:r>
      <w:r w:rsidR="00F74538">
        <w:rPr>
          <w:rFonts w:ascii="Times New Roman" w:hAnsi="Times New Roman"/>
          <w:sz w:val="28"/>
          <w:szCs w:val="28"/>
        </w:rPr>
        <w:t xml:space="preserve">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</w:t>
      </w:r>
      <w:r w:rsidR="00107F6D">
        <w:rPr>
          <w:rFonts w:ascii="Times New Roman" w:hAnsi="Times New Roman"/>
          <w:sz w:val="28"/>
          <w:szCs w:val="28"/>
        </w:rPr>
        <w:t>П</w:t>
      </w:r>
      <w:r w:rsidR="00F74538">
        <w:rPr>
          <w:rFonts w:ascii="Times New Roman" w:hAnsi="Times New Roman"/>
          <w:sz w:val="28"/>
          <w:szCs w:val="28"/>
        </w:rPr>
        <w:t xml:space="preserve">орядке определения учебной нагрузки указанных педагогических работников, оговариваемой в трудовом договоре, основаниях ее изменения и случаях </w:t>
      </w:r>
      <w:r w:rsidR="00F427E4">
        <w:rPr>
          <w:rFonts w:ascii="Times New Roman" w:hAnsi="Times New Roman"/>
          <w:sz w:val="28"/>
          <w:szCs w:val="28"/>
        </w:rPr>
        <w:t>установления верхнего предела указанной учебной нагрузки</w:t>
      </w:r>
      <w:r>
        <w:rPr>
          <w:rFonts w:ascii="Times New Roman" w:hAnsi="Times New Roman"/>
          <w:sz w:val="28"/>
          <w:szCs w:val="28"/>
        </w:rPr>
        <w:t>».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 учетом условий труда работникам устанавливаются выплаты компенсационного и стимулирующего характера в соответствии                             с главами III </w:t>
      </w:r>
      <w:proofErr w:type="gramStart"/>
      <w:r>
        <w:rPr>
          <w:rFonts w:ascii="Times New Roman" w:hAnsi="Times New Roman"/>
          <w:sz w:val="28"/>
          <w:szCs w:val="28"/>
        </w:rPr>
        <w:t>и  IV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Высококвалифицированным рабочим, занятым на важных и ответственных работах, тарифицированным не ниже 6 разряда, оплата труда которых осуществляется в соответствии с ПКГ, оклад устанавливается по решению руководителя учреждения по 4 квалификационному уровню, согласно приложению 1 к настоящему Положению.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Высококвалифицированным рабочим, занятым на особо важных и особо ответственных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работах,   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тарифицированным не ниже 6 разряда, оплата труда которых осуществляется в соответствии с ПКГ, оклад устанавливается по решению руководителя учреждения по 4 квалификационному уровню</w:t>
      </w:r>
      <w:r w:rsidR="00F427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Высококвалифицированным рабочим, занятым на особо важных и особо ответственных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работах,   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тарифицированным не ниже 6 разряда, оплата труда которых осуществляется в зависимости от разряда выполняемых работ, по решению руководителя устанавливается повышающий коэффициент к окладу</w:t>
      </w:r>
      <w:r w:rsidR="00F427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49D8" w:rsidRDefault="00964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Порядок и условия установления выплат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компенсационного характера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Выплаты компенсационного характера, размеры и порядок их определения устанавливаются в соответствии с настоящим Положением</w:t>
      </w:r>
      <w:r w:rsidR="00107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коллективными  договорами, соглашениями, локальными нормативными актами  в соответствии с трудовым законодательством и иными нормативными правовыми актами Российской Федерации, Челябинской области и Карталинского муниципального округ</w:t>
      </w:r>
      <w:r w:rsidR="00107F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содержащими нормы трудового права, и конкретизируются в трудовых договорах работников.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Размеры компенсационных выплат устанавливаются в процентах к окладу (должностному окладу) или в абсолютных размерах, если иное не установлено законодательством Российской Федерации и Челябинской области, муниципальными правовыми актами Карталинского муниципального округа.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Размеры выплат компенсационного характера, установленные работникам учреждения, не могут быть ниже размеров компенсационных выплат, предусмотренных Трудовым кодексом Российской Федерации и иными нормативными правовыми актами, содержащими нормы трудового права.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 выплатам компенсационного характера относятся: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выплаты работникам, занятым на тяжелых работах, работах с вредными и (или) опасными и иными особыми условиями труда;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выплаты за работу в местностях с особыми климатическими условиями (районный коэффициент);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дни, расширении зон обслуживания, исполнении обязанностей временно отсутствующего работника без освобождения от работы, определенной трудовым договором), и при выполнении работ в других условиях, отличающихся от нормальных.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Выплаты работникам, занятым на тяжелых работах, работах с вредными и (или) опасными и иными особыми условиями труда устанавливаются в соответствии со статьей 147 Трудового кодекса Российской Федерации.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 итогам аттестации рабочее место признается безопасным, то выплаты работникам, занятым на тяжелых работах, работах с вредными и (или) опасными и иными условиями труда отменяются.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Выплаты за работу в местностях с особыми климатическими условиями (районный коэффициент). Районный коэффициент начисляется на фактический месячный заработок, включая доплаты и надбавки.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16. Выплаты за работу в условиях, отклоняющихся от нормальных, устанавливаются в соответствии со статьей 149 Трудового кодекса Российской Федерации следующим образом: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доплата за совмещение профессий (должностей) устанавливается работнику на срок, на который устанавливается совмещение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объема дополнительной работы;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доплата за расширение зон обслуживания устанавливается работнику на срок, на который устанавливается расширение зон обслуживания. Размер доплаты и срок, на который она устанавливается, определяется по соглашению сторон трудового договора с учетом содержания и объема дополнительной работы;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доплата за исполнение обязанностей временно отсутствующего работника без освобождения от работы, определенной </w:t>
      </w:r>
      <w:proofErr w:type="gramStart"/>
      <w:r>
        <w:rPr>
          <w:rFonts w:ascii="Times New Roman" w:hAnsi="Times New Roman"/>
          <w:sz w:val="28"/>
          <w:szCs w:val="28"/>
        </w:rPr>
        <w:t>трудовым договором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объема дополнительной работы;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доплата за выполнение работ в выходные дни и нерабочие праздничные дни производится работникам, привлекавшимся к работе в выходные и нерабочие праздничные дни.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получающим оклад (должностной оклад), размер доплаты составляет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повышенная оплата сверхурочной работы составляет за первые два часа работы не менее полуторного размера, за последующие часы – двойного размера.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доплата за работу в ночное время производится работникам за каждый час работы в ночное время. Ночным считается время с 22 часов до          6 часов.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Минимальный размер доплаты составляет 20 процентов </w:t>
      </w:r>
      <w:proofErr w:type="gramStart"/>
      <w:r>
        <w:rPr>
          <w:rFonts w:ascii="Times New Roman" w:hAnsi="Times New Roman"/>
          <w:sz w:val="28"/>
          <w:szCs w:val="28"/>
        </w:rPr>
        <w:t>оклада  (</w:t>
      </w:r>
      <w:proofErr w:type="gramEnd"/>
      <w:r>
        <w:rPr>
          <w:rFonts w:ascii="Times New Roman" w:hAnsi="Times New Roman"/>
          <w:sz w:val="28"/>
          <w:szCs w:val="28"/>
        </w:rPr>
        <w:t>должностного оклада) за час работы работника.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части оклада (должностного оклада) за час работы определяется путем деления оклада (должностного оклада) на среднемесячное количество часов в соответствующем календарном году</w:t>
      </w:r>
      <w:r w:rsidR="00A0746F" w:rsidRPr="00A0746F">
        <w:rPr>
          <w:rFonts w:ascii="Times New Roman" w:hAnsi="Times New Roman"/>
          <w:sz w:val="28"/>
          <w:szCs w:val="28"/>
        </w:rPr>
        <w:t>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lastRenderedPageBreak/>
        <w:t>7)</w:t>
      </w:r>
      <w:r w:rsidRPr="00A0746F">
        <w:t xml:space="preserve"> </w:t>
      </w:r>
      <w:r w:rsidRPr="00A0746F">
        <w:rPr>
          <w:rFonts w:ascii="Times New Roman" w:hAnsi="Times New Roman"/>
          <w:sz w:val="28"/>
          <w:szCs w:val="28"/>
        </w:rPr>
        <w:t>выплаты за дополнительные виды работ, непосредственно связанные с образовательной деятельностью, выполняемые за дополнительную оплату и с письменного согласия педагогического работника за: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а) классное руководство (кураторство), за каждый класс (класс-комплект), учебную группу независимо от количества обучающихся в классе (классе-комплекте), учебной группе одному педагогическому работнику (не более чем в двух классах (учебных группах);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б) проверку письменных работ с учетом фактического объема учебной</w:t>
      </w:r>
    </w:p>
    <w:p w:rsidR="00A0746F" w:rsidRPr="00A0746F" w:rsidRDefault="00A0746F" w:rsidP="00A0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нагрузки;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в) заведование учебными кабинетами, лабораториями;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г) заведование учебными мастерскими, учебно-опытными участками;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д)выполнение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</w:t>
      </w:r>
      <w:r w:rsidR="00A61178" w:rsidRPr="00A61178">
        <w:rPr>
          <w:rFonts w:ascii="Times New Roman" w:hAnsi="Times New Roman"/>
          <w:sz w:val="28"/>
          <w:szCs w:val="28"/>
        </w:rPr>
        <w:t>( участие в экспериментах,  проектах, за работу с детьми из неблагополучных семей, детьми – сиротами, детьми, оставшимися без попечения родителей, детьми, оказавшимся в трудной жизненной ситуации, детьми- инвалидами и детьми с ограниченными возможностями здоровья</w:t>
      </w:r>
      <w:r w:rsidR="00F73D85">
        <w:rPr>
          <w:rFonts w:ascii="Times New Roman" w:hAnsi="Times New Roman"/>
          <w:sz w:val="28"/>
          <w:szCs w:val="28"/>
        </w:rPr>
        <w:t>)</w:t>
      </w:r>
      <w:r w:rsidRPr="00A0746F">
        <w:rPr>
          <w:rFonts w:ascii="Times New Roman" w:hAnsi="Times New Roman"/>
          <w:sz w:val="28"/>
          <w:szCs w:val="28"/>
        </w:rPr>
        <w:t>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е) руководство методическим объединением, предметной, цикловой, методической комиссией в образовательной организации педагогическим работникам, не имеющим квалификационной категории «педагог-методист»;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ё) руководство методическим объединением, предметной, цикловой, методической комиссией в образовательной организации педагогическим работникам, имеющим квалификационную категорию «педагог-методист»;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ж) выполнение дополнительной работы, связанной с наставничеством, педагогическим работникам, не имеющим квалификационную категорию «педагог-наставник»;</w:t>
      </w:r>
    </w:p>
    <w:p w:rsidR="00A0746F" w:rsidRPr="00CB0C3A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з) выполнение дополнительной работы, связанной с наставничеством, педагогическим работникам, имеющим квалификационную категорию «педагог-наставник»</w:t>
      </w:r>
      <w:r w:rsidRPr="00CB0C3A">
        <w:rPr>
          <w:rFonts w:ascii="Times New Roman" w:hAnsi="Times New Roman"/>
          <w:sz w:val="28"/>
          <w:szCs w:val="28"/>
        </w:rPr>
        <w:t>;</w:t>
      </w:r>
    </w:p>
    <w:p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8)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выплаты компенсационного характера, связанные с особенностями работы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в образовательных организациях:</w:t>
      </w:r>
    </w:p>
    <w:p w:rsidR="00A0746F" w:rsidRPr="00A0746F" w:rsidRDefault="00224048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а)</w:t>
      </w:r>
      <w:r w:rsidR="00A0746F" w:rsidRPr="00A0746F">
        <w:rPr>
          <w:rFonts w:ascii="Times New Roman" w:hAnsi="Times New Roman"/>
          <w:sz w:val="28"/>
          <w:szCs w:val="28"/>
        </w:rPr>
        <w:t xml:space="preserve"> особенности работы, связанные с организацией и осуществлением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образовательной деятельности по адаптированным основным образовательным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программам в классах (группах) для обучающихся с ограниченными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возможностями здоровья (ОВЗ) с учетом фактического объема учебной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нагрузки по преподаваемому предмету (с учетом фактического объема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педагогической работы);</w:t>
      </w:r>
    </w:p>
    <w:p w:rsidR="00A0746F" w:rsidRPr="00224048" w:rsidRDefault="00224048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б)</w:t>
      </w:r>
      <w:r w:rsidR="00A0746F" w:rsidRPr="00A0746F">
        <w:rPr>
          <w:rFonts w:ascii="Times New Roman" w:hAnsi="Times New Roman"/>
          <w:sz w:val="28"/>
          <w:szCs w:val="28"/>
        </w:rPr>
        <w:t xml:space="preserve"> особенности работы в организациях, осуществляющих обучение, в том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числе в санаторных, в которых проводятся необходимые лечебные,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 xml:space="preserve">реабилитационные и оздоровительные мероприятия для обучающихся с </w:t>
      </w:r>
      <w:r w:rsidR="00A0746F" w:rsidRPr="00A0746F">
        <w:rPr>
          <w:rFonts w:ascii="Times New Roman" w:hAnsi="Times New Roman"/>
          <w:sz w:val="28"/>
          <w:szCs w:val="28"/>
        </w:rPr>
        <w:lastRenderedPageBreak/>
        <w:t>учетом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A0746F">
        <w:rPr>
          <w:rFonts w:ascii="Times New Roman" w:hAnsi="Times New Roman"/>
          <w:sz w:val="28"/>
          <w:szCs w:val="28"/>
        </w:rPr>
        <w:t>фактического объема учебной нагрузки по преподаваемому предмету (с учетом</w:t>
      </w:r>
      <w:r w:rsidRPr="00224048">
        <w:rPr>
          <w:rFonts w:ascii="Times New Roman" w:hAnsi="Times New Roman"/>
          <w:sz w:val="28"/>
          <w:szCs w:val="28"/>
        </w:rPr>
        <w:t xml:space="preserve"> </w:t>
      </w:r>
      <w:r w:rsidR="00A0746F" w:rsidRPr="00224048">
        <w:rPr>
          <w:rFonts w:ascii="Times New Roman" w:hAnsi="Times New Roman"/>
          <w:sz w:val="28"/>
          <w:szCs w:val="28"/>
        </w:rPr>
        <w:t>фактического объема педагогической работы);</w:t>
      </w:r>
    </w:p>
    <w:p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в) особенности работы педагогических работников, непосредственно осуществляющих индивидуальное обучение на дому детей, нуждающихся в длительном лечении, а также детей-инвалидов, которые по состоянию здоровья не могут посещать образовательные организации (в том числе с применением электронного обучения и/или дистанционных образовательных технологий);</w:t>
      </w:r>
    </w:p>
    <w:p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г) с учетом фактического объема учебной нагрузки по преподаваемому предмету;</w:t>
      </w:r>
    </w:p>
    <w:p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д) особенности работы педагогических работников, непосредственно осуществляющих индивидуальное или групповое обучение детей, находящихся на длительном лечении в медицинской организации – с учетом фактического объема учебной нагрузки по преподаваемому предмету (с учетом фактического объема педагогической работы);</w:t>
      </w:r>
    </w:p>
    <w:p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е) особенности работы в организациях, для детей-сирот и детей, оставшихся без попечения родителей, в профессиональных образовательных организациях (группах) для детей-сирот и детей, оставшихся без попечения родителей с учетом фактического объема учебной нагрузки по преподаваемому предмету (с учетом фактического объема педагогической работы);</w:t>
      </w:r>
    </w:p>
    <w:p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ё) особенности работы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(в специальных учебно-воспитательных учреждениях открытого и закрытого типа) с учетом фактического объема учебной нагрузки по преподаваемому предмету (с учетом фактического объема педагогической работы);</w:t>
      </w:r>
    </w:p>
    <w:p w:rsidR="00A6117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ж) особенности работы в образовательных организациях, созданных при исправительных учреждениях уголовно-исполнительной системы с учетом фактического объема учебной нагрузки по преподаваемому предмету</w:t>
      </w:r>
    </w:p>
    <w:p w:rsidR="00224048" w:rsidRPr="00224048" w:rsidRDefault="00A6117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61178">
        <w:rPr>
          <w:rFonts w:ascii="Times New Roman" w:hAnsi="Times New Roman"/>
          <w:sz w:val="28"/>
          <w:szCs w:val="28"/>
        </w:rPr>
        <w:t>) выплаты, учитывающие особенности деятельности учреждения и отдельных категорий работников (за работу в учреждениях, расположенных в сельских населенных пунктах, за работу по информатизации системы образования Карталинского муниципального округа Челябинской области, за работу в логопедических группах, группах кратковременного пребывания детей, за работу в психолого-медико-педагогической комиссии</w:t>
      </w:r>
      <w:r w:rsidR="00224048" w:rsidRPr="00224048">
        <w:rPr>
          <w:rFonts w:ascii="Times New Roman" w:hAnsi="Times New Roman"/>
          <w:sz w:val="28"/>
          <w:szCs w:val="28"/>
        </w:rPr>
        <w:t>.</w:t>
      </w:r>
    </w:p>
    <w:p w:rsidR="00AA3176" w:rsidRDefault="00AA31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00844" w:rsidRDefault="00400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IV Порядок и условия установления 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 стимулирующего характера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Порядок и размеры выплат стимулирующего </w:t>
      </w:r>
      <w:proofErr w:type="gramStart"/>
      <w:r>
        <w:rPr>
          <w:rFonts w:ascii="Times New Roman" w:hAnsi="Times New Roman"/>
          <w:sz w:val="28"/>
          <w:szCs w:val="28"/>
        </w:rPr>
        <w:t>характера  устанавливаются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настоящим Положением коллективными </w:t>
      </w:r>
      <w:r>
        <w:rPr>
          <w:rFonts w:ascii="Times New Roman" w:hAnsi="Times New Roman"/>
          <w:sz w:val="28"/>
          <w:szCs w:val="28"/>
        </w:rPr>
        <w:lastRenderedPageBreak/>
        <w:t>договорами, соглашениями, локальными нормативными актами, трудовыми договорами с учетом разрабатываемых в муниципальных образовательных организациях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 выплатам стимулирующего характера относятся: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выплаты за интенсивность и высокие результаты работы </w:t>
      </w:r>
      <w:r w:rsidR="00A61178" w:rsidRPr="00A61178">
        <w:rPr>
          <w:rFonts w:ascii="Times New Roman" w:hAnsi="Times New Roman"/>
          <w:sz w:val="28"/>
          <w:szCs w:val="28"/>
        </w:rPr>
        <w:t xml:space="preserve">за создание элементов образовательной </w:t>
      </w:r>
      <w:r w:rsidR="00A61178" w:rsidRPr="00F73D85">
        <w:rPr>
          <w:rFonts w:ascii="Times New Roman" w:hAnsi="Times New Roman"/>
          <w:sz w:val="28"/>
          <w:szCs w:val="28"/>
        </w:rPr>
        <w:t xml:space="preserve">структуры </w:t>
      </w:r>
      <w:r w:rsidRPr="00F73D85">
        <w:rPr>
          <w:rFonts w:ascii="Times New Roman" w:hAnsi="Times New Roman"/>
          <w:sz w:val="28"/>
          <w:szCs w:val="28"/>
        </w:rPr>
        <w:t>(оформление кабинета, музея),</w:t>
      </w:r>
      <w:r>
        <w:rPr>
          <w:rFonts w:ascii="Times New Roman" w:hAnsi="Times New Roman"/>
          <w:sz w:val="28"/>
          <w:szCs w:val="28"/>
        </w:rPr>
        <w:t xml:space="preserve"> за выполнение особо важных и ответственных работ;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выплаты за качество выполняемых работ (за положительную динамику результатов образовательной деятельности с обучающимися, за наличие квалификационной категории);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премиальные выплаты по итогам работы (за месяц, квартал, полугодие, год);</w:t>
      </w:r>
    </w:p>
    <w:p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4EC1">
        <w:rPr>
          <w:rFonts w:ascii="Times New Roman" w:hAnsi="Times New Roman"/>
          <w:sz w:val="28"/>
          <w:szCs w:val="28"/>
        </w:rPr>
        <w:t>) выплаты за наличие ученой степени, почетного звания;</w:t>
      </w:r>
    </w:p>
    <w:p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4EC1">
        <w:rPr>
          <w:rFonts w:ascii="Times New Roman" w:hAnsi="Times New Roman"/>
          <w:sz w:val="28"/>
          <w:szCs w:val="28"/>
        </w:rPr>
        <w:t>) выплаты за непрерывный стаж работы, выслугу лет;</w:t>
      </w:r>
    </w:p>
    <w:p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4EC1">
        <w:rPr>
          <w:rFonts w:ascii="Times New Roman" w:hAnsi="Times New Roman"/>
          <w:sz w:val="28"/>
          <w:szCs w:val="28"/>
        </w:rPr>
        <w:t xml:space="preserve">) надбавка специалистам за работу в сельских населенных пунктах Карталинского муниципального </w:t>
      </w:r>
      <w:r w:rsidR="00F427E4">
        <w:rPr>
          <w:rFonts w:ascii="Times New Roman" w:hAnsi="Times New Roman"/>
          <w:sz w:val="28"/>
          <w:szCs w:val="28"/>
        </w:rPr>
        <w:t>округа Челябинской области</w:t>
      </w:r>
      <w:r w:rsidR="00984EC1">
        <w:rPr>
          <w:rFonts w:ascii="Times New Roman" w:hAnsi="Times New Roman"/>
          <w:sz w:val="28"/>
          <w:szCs w:val="28"/>
        </w:rPr>
        <w:t xml:space="preserve"> в размере 25 процентов оклада  (должностного оклада) в соответствии с перечнем должностей специалистов, определенным постановлением администрации Карталинского муниципального </w:t>
      </w:r>
      <w:r w:rsidR="00107F6D">
        <w:rPr>
          <w:rFonts w:ascii="Times New Roman" w:hAnsi="Times New Roman"/>
          <w:sz w:val="28"/>
          <w:szCs w:val="28"/>
        </w:rPr>
        <w:t>района</w:t>
      </w:r>
      <w:r w:rsidR="00984EC1">
        <w:rPr>
          <w:rFonts w:ascii="Times New Roman" w:hAnsi="Times New Roman"/>
          <w:sz w:val="28"/>
          <w:szCs w:val="28"/>
        </w:rPr>
        <w:t xml:space="preserve"> </w:t>
      </w:r>
      <w:r w:rsidR="00984EC1" w:rsidRPr="00F427E4">
        <w:rPr>
          <w:rFonts w:ascii="Times New Roman" w:hAnsi="Times New Roman"/>
          <w:sz w:val="28"/>
          <w:szCs w:val="28"/>
        </w:rPr>
        <w:t>от 29.09.2010 года № 1727</w:t>
      </w:r>
      <w:r w:rsidR="00984EC1">
        <w:rPr>
          <w:rFonts w:ascii="Times New Roman" w:hAnsi="Times New Roman"/>
          <w:sz w:val="28"/>
          <w:szCs w:val="28"/>
        </w:rPr>
        <w:t xml:space="preserve"> «О введении новых систем оплаты труда работников муниципальных учреждений и органов местного самоуправления Карталинского муниципального </w:t>
      </w:r>
      <w:r w:rsidR="00107F6D">
        <w:rPr>
          <w:rFonts w:ascii="Times New Roman" w:hAnsi="Times New Roman"/>
          <w:sz w:val="28"/>
          <w:szCs w:val="28"/>
        </w:rPr>
        <w:t>района</w:t>
      </w:r>
      <w:r w:rsidR="00984EC1">
        <w:rPr>
          <w:rFonts w:ascii="Times New Roman" w:hAnsi="Times New Roman"/>
          <w:sz w:val="28"/>
          <w:szCs w:val="28"/>
        </w:rPr>
        <w:t>, оплата труда  которых осуществляется на основе единой тарифной сетки»;</w:t>
      </w:r>
    </w:p>
    <w:p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4EC1">
        <w:rPr>
          <w:rFonts w:ascii="Times New Roman" w:hAnsi="Times New Roman"/>
          <w:sz w:val="28"/>
          <w:szCs w:val="28"/>
        </w:rPr>
        <w:t>)</w:t>
      </w:r>
      <w:r w:rsidR="00984EC1">
        <w:t xml:space="preserve"> </w:t>
      </w:r>
      <w:r w:rsidR="00984EC1">
        <w:rPr>
          <w:rFonts w:ascii="Times New Roman" w:hAnsi="Times New Roman"/>
          <w:sz w:val="28"/>
          <w:szCs w:val="28"/>
        </w:rPr>
        <w:t>ежемесячная надбавка молодым специалистам;</w:t>
      </w:r>
    </w:p>
    <w:p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4EC1">
        <w:rPr>
          <w:rFonts w:ascii="Times New Roman" w:hAnsi="Times New Roman"/>
          <w:sz w:val="28"/>
          <w:szCs w:val="28"/>
        </w:rPr>
        <w:t>)ежегодная единовременная стимулирующая выплата молодым специалистам в следующем размере: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1 год – 60 000,0 руб.;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2 года – 100 000,0 руб.;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3 года – 140 000,0 руб.;</w:t>
      </w:r>
    </w:p>
    <w:p w:rsidR="00F73D85" w:rsidRDefault="00F73D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советнику директора по воспитанию и взаимодействию с детскими общественными объединениями;</w:t>
      </w:r>
    </w:p>
    <w:p w:rsidR="009649D8" w:rsidRDefault="00F73D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84EC1">
        <w:rPr>
          <w:rFonts w:ascii="Times New Roman" w:hAnsi="Times New Roman"/>
          <w:sz w:val="28"/>
          <w:szCs w:val="28"/>
        </w:rPr>
        <w:t>) выплаты в соответствии с положением об оплате труда работников подведомственных муниципальных учреждений.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Выплаты стимулирующего характера работнику устанавливаются по решению руководителя учреждения в соответствии с Положением об оплате труда учреждения, с учетом </w:t>
      </w:r>
      <w:proofErr w:type="gramStart"/>
      <w:r>
        <w:rPr>
          <w:rFonts w:ascii="Times New Roman" w:hAnsi="Times New Roman"/>
          <w:sz w:val="28"/>
          <w:szCs w:val="28"/>
        </w:rPr>
        <w:t>перечня  выплат</w:t>
      </w:r>
      <w:proofErr w:type="gramEnd"/>
      <w:r>
        <w:rPr>
          <w:rFonts w:ascii="Times New Roman" w:hAnsi="Times New Roman"/>
          <w:sz w:val="28"/>
          <w:szCs w:val="28"/>
        </w:rPr>
        <w:t xml:space="preserve"> стимулирующего характера, согласно приложениям 7-9 к настоящему Положению, в пределах утвержденного фонда оплаты труда.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Стимулирующие выплаты конкретизируются в Положении об оплате труда учреждения </w:t>
      </w:r>
      <w:proofErr w:type="gramStart"/>
      <w:r>
        <w:rPr>
          <w:rFonts w:ascii="Times New Roman" w:hAnsi="Times New Roman"/>
          <w:sz w:val="28"/>
          <w:szCs w:val="28"/>
        </w:rPr>
        <w:t>и  в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трудовом договоре с работником (в дополнительном соглашении к трудовому договору с работником).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Размеры стимулирующих выплат устанавливаются в процентах к окладу (должностному окладу) или в абсолютных размерах, если иное не установлено законодательством Российской Федерации и Челябинской </w:t>
      </w:r>
      <w:r>
        <w:rPr>
          <w:rFonts w:ascii="Times New Roman" w:hAnsi="Times New Roman"/>
          <w:sz w:val="28"/>
          <w:szCs w:val="28"/>
        </w:rPr>
        <w:lastRenderedPageBreak/>
        <w:t>области, муниципальными правовыми актами Карталинского муниципального округа</w:t>
      </w:r>
      <w:r w:rsidR="00224048" w:rsidRPr="00224048">
        <w:rPr>
          <w:rFonts w:ascii="Times New Roman" w:hAnsi="Times New Roman"/>
          <w:sz w:val="28"/>
          <w:szCs w:val="28"/>
        </w:rPr>
        <w:t xml:space="preserve"> Челябинской област</w:t>
      </w:r>
      <w:r w:rsidR="00224048" w:rsidRPr="000026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Выплаты стимулирующего характера по итогам работы устанавливаются работнику учреждения с учетом критериев, позволяющих оценить результативность и качество его работы.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Молодым специалистом является гражданин Российской Федерации в возрасте до 35 лет включительно, получивший среднее профессиональное или высшее образование, впервые устраивающийся на работу на должность, входящую в профессиональную квалификационную группу должностей педагогических работников, до 1 октября года окончания обучения в образовательном учреждении, а также впервые устраивающийся до 1 октября года окончания обучения в образовательном учреждении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молодым специалистам, предусмотренная подпунктом </w:t>
      </w:r>
      <w:r w:rsidR="00E451C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пункта 18 настоящего Положения, осуществляется молодым специалистам, трудоустроившимся с 1 сентября 2023 года. 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стаж работы не включается период нахождения в отпуске по уходу за ребенком до достижения им возраста трех лет. 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молодым специалистам осуществляется также молодым специалистам при трудоустройстве в течение трех месяцев после увольнения с военной службы в те же учреждения, из которых они, будучи молодыми специалистами, были уволены по основанию, предусмотренному пунктом 1 статьи 83 Трудового кодекса Российской Федерации, в связи с призывом на военную службу (за исключением призыва на военную службу по мобилизации), и выплачивается с даты указанного трудоустройства в течение 3 лет и (или) до достижения ими возраста 35 лет (за вычетом периода, в котором работник получал выплату молодым специалистам в соответствии с абзацем первым настоящего пункта).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Период, на который устанавливается стимулирующая выплата молодым специалистам, составляет 3 года с даты трудоустройства молодого специалиста.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молодым специалистам осуществляются по основному месту работы 1 раз в год при достижении ими стажа работы, предусмотренного подпунктом </w:t>
      </w:r>
      <w:r w:rsidR="00E451C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пункта 18 настоящего Положения.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V. Условия оплаты труда руководителя учреждения,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подведомственного Управлению образования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Карталинского муниципального округа</w:t>
      </w:r>
      <w:r w:rsidR="00F427E4">
        <w:rPr>
          <w:rFonts w:ascii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sz w:val="28"/>
          <w:szCs w:val="28"/>
        </w:rPr>
        <w:t>,</w:t>
      </w:r>
    </w:p>
    <w:p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заместителей и главного бухгалтера</w:t>
      </w:r>
    </w:p>
    <w:p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23.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характера.</w:t>
      </w:r>
    </w:p>
    <w:p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Должностной оклад руководителя учреждения определяется трудовым договором.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24. Условия оплаты труда руководителя учреждения устанавливаются в трудовом договоре (в дополнительном соглашении к трудовому договору), заключаемом на основе типовой формы трудового договора, утвержденной постановлением Правительства Российской Федерации от 12.04.2013 года         № 329 «О типовой форме трудового договора с руководителем государственного (муниципального) учреждения».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25. Выплаты компенсационного характера руководителю учреждения, его заместителям и главному бухгалтеру устанавливаются в соответствии с главой III настоящего Положения.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26. Выплаты стимулирующего характера, характеризующие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результаты  труда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руководителю учреждения производятся на основании оценки  деятельности учреждения за отчетный период в соответствии с учетом критериев, позволяющих оценить результативность и качество работы.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27. Предельный уровень соотношения среднемесячной заработной платы руководителей муниципальных учреждений,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его заместителей, главного бухгалтера) определяется Управлением образования Карталинского муниципального округа Челябинской области в кратности от 1 до 7.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28.  Должностные оклады заместителей руководителя и главного бухгалтера учреждения устанавливаются руководителем учреждения                  на 10-30 процентов ниже должностного оклада руководителя этого учреждения.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29. Выплаты стимулирующего и компенсационного характера заместителям руководителя и главному бухгалтеру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устанавливает  руководитель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учреждения в соответствии с главами III и  IV настоящего Положения.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VI. Заключительные положения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 Штатное расписание учреждения утверждается руководителем учреждения и включает в себя все должности служащих (профессии рабочих) данного учреждения.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Для выполнения работ, связанных с временным расширением объема оказываемых учреждением услуг, учреждение вправе осуществлять привлечение помимо работников, занимающих должности (профессии), </w:t>
      </w:r>
      <w:r>
        <w:rPr>
          <w:rFonts w:ascii="Times New Roman" w:eastAsia="Times New Roman" w:hAnsi="Times New Roman"/>
          <w:sz w:val="28"/>
          <w:szCs w:val="28"/>
        </w:rPr>
        <w:lastRenderedPageBreak/>
        <w:t>предусмотренные штатным расписанием, других работников в порядке, установленным законодательством Российской Федерации, Челябинской области, муниципальными правовыми актами Карталинского муниципального округа</w:t>
      </w:r>
      <w:r w:rsidR="00F427E4">
        <w:rPr>
          <w:rFonts w:ascii="Times New Roman" w:eastAsia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31. Фонд оплаты труда работников учреждения формируется на календарный год исходя из объема лимитов бюджетных обязательств федерального, областного и местного бюджетов.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32. Из фонда оплаты труда учреждения работникам может быть оказана материальная помощь. Решение об оказании материальной помощи и ее конкретных размерах принимает руководитель учреждения на основании   письменного заявления работника. Решение об оказании материальной помощи руководителю учреждения на основании его письменного заявления принимает Управление образования Карталинского муниципального округа Челябинской области.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33. При отсутствии или недостатке соответствующих финансовых средств руководитель учреждения вправе приостановить выплату стимулирующих надбавок. Уменьшить либо отменить их выплату, предупредив работников об этом в установленном законодательством порядке.</w:t>
      </w: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  муниципальных  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учреждений,  подведомственных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образования  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Карталинского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Челябинской области 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общеотраслевых профессий рабочих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профессий рабочих,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отнесенных  к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профессиональным квалификационным</w:t>
      </w:r>
    </w:p>
    <w:p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группам общеотраслевых профессий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рабочих,  установлен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приказом Министерства  здравоохранения и социального развития Российской Федерации от 29.05.2008 года  № 248н  «Об утверждении профессиональных</w:t>
      </w:r>
    </w:p>
    <w:p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квалификационных групп общеотраслевых профессий рабочих»</w:t>
      </w:r>
    </w:p>
    <w:p w:rsidR="009649D8" w:rsidRDefault="0096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925"/>
        <w:gridCol w:w="135"/>
        <w:gridCol w:w="2208"/>
      </w:tblGrid>
      <w:tr w:rsidR="009649D8">
        <w:trPr>
          <w:trHeight w:val="65"/>
        </w:trPr>
        <w:tc>
          <w:tcPr>
            <w:tcW w:w="5000" w:type="pct"/>
            <w:gridSpan w:val="3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«Общеотраслевые, профессии рабочих первого уровня»</w:t>
            </w:r>
          </w:p>
        </w:tc>
      </w:tr>
      <w:tr w:rsidR="009649D8">
        <w:trPr>
          <w:trHeight w:val="210"/>
        </w:trPr>
        <w:tc>
          <w:tcPr>
            <w:tcW w:w="3809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191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Оклад (рублей)</w:t>
            </w:r>
          </w:p>
        </w:tc>
      </w:tr>
      <w:tr w:rsidR="009649D8">
        <w:trPr>
          <w:trHeight w:val="65"/>
        </w:trPr>
        <w:tc>
          <w:tcPr>
            <w:tcW w:w="3809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Наименования профессий рабочих, по которым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предусмотрено присвоение 1, 2 и 3 квалификационных разрядов в соответствии Единым тарифно-квалификационным справочником работ и профессий рабочих;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гардеробщик;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грузчик;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дворник;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кастелянша;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подсобный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рабочий;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няня;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сторож (вахтер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уборщик производственных помещений;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уборщик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служебных  помещений</w:t>
            </w:r>
            <w:proofErr w:type="gramEnd"/>
          </w:p>
        </w:tc>
        <w:tc>
          <w:tcPr>
            <w:tcW w:w="1191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3170</w:t>
            </w:r>
          </w:p>
        </w:tc>
      </w:tr>
      <w:tr w:rsidR="009649D8">
        <w:trPr>
          <w:trHeight w:val="199"/>
        </w:trPr>
        <w:tc>
          <w:tcPr>
            <w:tcW w:w="5000" w:type="pct"/>
            <w:gridSpan w:val="3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649D8">
        <w:trPr>
          <w:trHeight w:val="65"/>
        </w:trPr>
        <w:tc>
          <w:tcPr>
            <w:tcW w:w="3736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264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Оклад (рублей)</w:t>
            </w:r>
          </w:p>
        </w:tc>
      </w:tr>
      <w:tr w:rsidR="009649D8">
        <w:trPr>
          <w:trHeight w:val="65"/>
        </w:trPr>
        <w:tc>
          <w:tcPr>
            <w:tcW w:w="3736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   присвоение    4    и     5 квалификационных разрядов в соответствии  с Единым тарифно-квалификационным справочником  работ  и  профессий  рабочих;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64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3648</w:t>
            </w:r>
          </w:p>
        </w:tc>
      </w:tr>
      <w:tr w:rsidR="009649D8">
        <w:trPr>
          <w:trHeight w:val="70"/>
        </w:trPr>
        <w:tc>
          <w:tcPr>
            <w:tcW w:w="3736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   присвоение    6    и     7   квалификационных разрядов в соответствии  с Единым тарифно-квалификационным справочником работ и профессий рабочих</w:t>
            </w:r>
          </w:p>
        </w:tc>
        <w:tc>
          <w:tcPr>
            <w:tcW w:w="1264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3807</w:t>
            </w:r>
          </w:p>
        </w:tc>
      </w:tr>
      <w:tr w:rsidR="009649D8">
        <w:trPr>
          <w:trHeight w:val="70"/>
        </w:trPr>
        <w:tc>
          <w:tcPr>
            <w:tcW w:w="3736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присвоение  8  квалификационного разряда в соответствии  с Единым тарифно-квалификационным справочником работ и профессий рабочих</w:t>
            </w:r>
          </w:p>
        </w:tc>
        <w:tc>
          <w:tcPr>
            <w:tcW w:w="1264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4121</w:t>
            </w:r>
          </w:p>
        </w:tc>
      </w:tr>
      <w:tr w:rsidR="009649D8">
        <w:trPr>
          <w:trHeight w:val="70"/>
        </w:trPr>
        <w:tc>
          <w:tcPr>
            <w:tcW w:w="3736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предусмотренных  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3  квалификационными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уровнями  настоящей     профессиональной квалификационной группы, выполняющих важные (особо  важные)  и   ответственные (особо ответственные работы)</w:t>
            </w:r>
          </w:p>
        </w:tc>
        <w:tc>
          <w:tcPr>
            <w:tcW w:w="1264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общеотраслевых должностей руководителей,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специалистов и служащих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Перечень  должностей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руководителей,  специалистов и служащих, отнесенных  к профессиональным квалификационным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группам общеотраслевых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должностей  руководителей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специалистов и служащих,  установлен приказом Министерства здравоохранения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 социального развития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Российской  Федерации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от 29.05.2008 года № 247н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«Об утверждении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профессиональных  квалификационных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групп общеотраслевых должностей руководителей, специалистов и служащих»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5"/>
        <w:gridCol w:w="3790"/>
        <w:gridCol w:w="44"/>
      </w:tblGrid>
      <w:tr w:rsidR="009649D8">
        <w:trPr>
          <w:trHeight w:val="65"/>
        </w:trPr>
        <w:tc>
          <w:tcPr>
            <w:tcW w:w="5000" w:type="pct"/>
            <w:gridSpan w:val="3"/>
            <w:shd w:val="clear" w:color="auto" w:fill="FFFFFF"/>
            <w:vAlign w:val="bottom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9649D8">
        <w:trPr>
          <w:trHeight w:val="210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20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94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архивариус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делопроизводитель;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машинистка;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кассир;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секретарь-машинистка;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экспедитор;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экспедитор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перевозке  грузов</w:t>
            </w:r>
            <w:proofErr w:type="gramEnd"/>
          </w:p>
        </w:tc>
        <w:tc>
          <w:tcPr>
            <w:tcW w:w="2020" w:type="pct"/>
            <w:gridSpan w:val="2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3930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4977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9649D8">
        <w:trPr>
          <w:gridAfter w:val="1"/>
          <w:wAfter w:w="23" w:type="pct"/>
          <w:trHeight w:val="210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97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администратор;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инспектор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кадрам;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секретарь руководителя;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специалист по работе с молодежью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техник-программист</w:t>
            </w:r>
          </w:p>
        </w:tc>
        <w:tc>
          <w:tcPr>
            <w:tcW w:w="1997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3649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хозяйством;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Должности служащих первого                              квалификационного уровня, по которым                                      устанавливается производное должностное наименование «старший».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 служащих первого                                      квалификационного уровня, по которым                                      устанавливается II внутри должностная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997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3807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заведующий столовой;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хозяйственного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отдела;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Должности служащих первого                               квалификационного уровня, по которым                                  устанавливается I внутри должностная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997" w:type="pct"/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tcBorders>
              <w:bottom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механик;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 служащих первого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квалификационного уровня, по которым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может устанавливаться производное                                   должностное наименование «ведущий»</w:t>
            </w:r>
          </w:p>
        </w:tc>
        <w:tc>
          <w:tcPr>
            <w:tcW w:w="1997" w:type="pct"/>
            <w:tcBorders>
              <w:bottom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4916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9649D8">
        <w:trPr>
          <w:gridAfter w:val="1"/>
          <w:wAfter w:w="23" w:type="pct"/>
          <w:trHeight w:val="2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бухгалтер;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бухгалтер-ревизор;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инженер;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инженер по надзору за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строительством;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инженер-программист, программист;                                                     психолог;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социолог;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специалист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кадрам;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экономист;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бухгалтерскому учету и анализу хозяйственной деятельности;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экономист вычислительного                         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информационно-вычислительного)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центра;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договорной и                                   претензионной работе;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материально-техническому снабжению;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планированию;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сбыту;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труду;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экономист по финансовой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работе;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юрисконсульт</w:t>
            </w:r>
          </w:p>
        </w:tc>
        <w:tc>
          <w:tcPr>
            <w:tcW w:w="1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7851</w:t>
            </w:r>
          </w:p>
          <w:p w:rsidR="009649D8" w:rsidRDefault="00964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«Общеотраслевые должности служащих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четвертого  уровня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9649D8">
        <w:trPr>
          <w:gridAfter w:val="1"/>
          <w:wAfter w:w="23" w:type="pct"/>
          <w:trHeight w:val="210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защите информации</w:t>
            </w:r>
          </w:p>
        </w:tc>
        <w:tc>
          <w:tcPr>
            <w:tcW w:w="1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6023</w:t>
            </w:r>
          </w:p>
        </w:tc>
      </w:tr>
      <w:tr w:rsidR="009649D8">
        <w:trPr>
          <w:gridAfter w:val="1"/>
          <w:wAfter w:w="23" w:type="pct"/>
          <w:trHeight w:val="65"/>
        </w:trPr>
        <w:tc>
          <w:tcPr>
            <w:tcW w:w="2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(начальник,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заведующий)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филиала, другого обособленного                                   структурного подразделения</w:t>
            </w:r>
          </w:p>
        </w:tc>
        <w:tc>
          <w:tcPr>
            <w:tcW w:w="199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6339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3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Hlk156211372"/>
    </w:p>
    <w:bookmarkEnd w:id="1"/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должностей работников образования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должностей работников образования, отнесенных к профессиональным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квалификационным группам должностей работников образования, установлен приказом Министерства здравоохранения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социального развития Российской Федерации от 05.05.2008 года № 216 н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«Об утверждении профессиональных квалификационных групп должностей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работников образования»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7"/>
        <w:gridCol w:w="3755"/>
        <w:gridCol w:w="32"/>
      </w:tblGrid>
      <w:tr w:rsidR="009649D8">
        <w:trPr>
          <w:trHeight w:val="65"/>
        </w:trPr>
        <w:tc>
          <w:tcPr>
            <w:tcW w:w="5000" w:type="pct"/>
            <w:gridSpan w:val="3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649D8">
        <w:trPr>
          <w:trHeight w:val="210"/>
        </w:trPr>
        <w:tc>
          <w:tcPr>
            <w:tcW w:w="2995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5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2995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Вожатый;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помощник воспитателя;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2005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3649</w:t>
            </w:r>
          </w:p>
        </w:tc>
      </w:tr>
      <w:tr w:rsidR="009649D8">
        <w:trPr>
          <w:trHeight w:val="65"/>
        </w:trPr>
        <w:tc>
          <w:tcPr>
            <w:tcW w:w="5000" w:type="pct"/>
            <w:gridSpan w:val="3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работников учебно-вспомогательного персонала второго уровня</w:t>
            </w:r>
          </w:p>
        </w:tc>
      </w:tr>
      <w:tr w:rsidR="009649D8">
        <w:trPr>
          <w:trHeight w:val="210"/>
        </w:trPr>
        <w:tc>
          <w:tcPr>
            <w:tcW w:w="2995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5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2995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Дежурный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режиму;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младший воспитатель</w:t>
            </w:r>
          </w:p>
        </w:tc>
        <w:tc>
          <w:tcPr>
            <w:tcW w:w="2005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4121</w:t>
            </w:r>
          </w:p>
        </w:tc>
      </w:tr>
      <w:tr w:rsidR="009649D8">
        <w:trPr>
          <w:trHeight w:val="210"/>
        </w:trPr>
        <w:tc>
          <w:tcPr>
            <w:tcW w:w="2995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Диспетчер образовательного учреждения;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дежурный по режиму</w:t>
            </w:r>
          </w:p>
        </w:tc>
        <w:tc>
          <w:tcPr>
            <w:tcW w:w="2005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  <w:tr w:rsidR="009649D8">
        <w:trPr>
          <w:trHeight w:val="210"/>
        </w:trPr>
        <w:tc>
          <w:tcPr>
            <w:tcW w:w="5000" w:type="pct"/>
            <w:gridSpan w:val="3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должностей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педагогических работников</w:t>
            </w:r>
          </w:p>
        </w:tc>
      </w:tr>
      <w:tr w:rsidR="009649D8">
        <w:trPr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Инспектор по труду;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по физической культуре;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Музыкальный руководитель;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10801</w:t>
            </w:r>
          </w:p>
        </w:tc>
      </w:tr>
      <w:tr w:rsidR="009649D8">
        <w:trPr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– методист;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Концертмейстер;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дополнительного образования;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– организатор;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Тренер – преподаватель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10949</w:t>
            </w:r>
          </w:p>
        </w:tc>
      </w:tr>
      <w:tr w:rsidR="009649D8">
        <w:trPr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Воспитатель;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Мастер производственного обучения;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Методист;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– психолог;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инструктор – методист;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педагог дополнительного образования;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тренер – преподаватель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11099</w:t>
            </w:r>
          </w:p>
        </w:tc>
      </w:tr>
      <w:tr w:rsidR="009649D8">
        <w:trPr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Преподаватель;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Преподаватель – организатор основ безопасности жизнедеятельности;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физического воспитания;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воспитатель;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методист;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Тьютор;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– дефектолог;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– логопед (логопед)</w:t>
            </w:r>
          </w:p>
        </w:tc>
        <w:tc>
          <w:tcPr>
            <w:tcW w:w="2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14796</w:t>
            </w:r>
          </w:p>
        </w:tc>
      </w:tr>
      <w:tr w:rsidR="009649D8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649D8">
        <w:trPr>
          <w:gridAfter w:val="1"/>
          <w:wAfter w:w="18" w:type="pct"/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gridAfter w:val="1"/>
          <w:wAfter w:w="18" w:type="pct"/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1-й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(начальник) структурным подразделением: кабинетом, лабораторией,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отделом, отделением, сектором, учебно-                                консультационным пунктом, учебной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(учебно-производственной) мастерской и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другими структурными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подразделениями,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реализующими общеобразовательную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программу и образовательную программу                                дополнительного образования детей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6181</w:t>
            </w:r>
          </w:p>
        </w:tc>
      </w:tr>
      <w:tr w:rsidR="009649D8">
        <w:trPr>
          <w:gridAfter w:val="1"/>
          <w:wAfter w:w="18" w:type="pct"/>
          <w:trHeight w:val="210"/>
        </w:trPr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2-й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(начальник) обособленным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структурным подразделением, реализующим                                общеобразовательную программу и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образовательную программу дополнительного                                образования детей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6656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4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2" w:name="_Hlk156211382"/>
    </w:p>
    <w:bookmarkEnd w:id="2"/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Профессиональные квалификационные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группы должностей работников культуры,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искусства и кинематографии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должностей работников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культуры,  искусства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кинематографии, отнесенных  к профессиональным квалификационным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группам должностей работников культуры, искусства и кинематографии, установлен приказом Министерства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здравоохранения  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социального развития Российской Федерации  от 31.08.2007 года № 570 «Об утверждении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профессиональных квалификационных групп должностей работников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культуры,  искусства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кинематографии»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28"/>
        <w:gridCol w:w="2824"/>
      </w:tblGrid>
      <w:tr w:rsidR="009649D8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6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5391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5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Размер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должностного оклада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 должности «Советник директора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 воспитанию и взаимодействию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 детскими общественными объединениями»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28"/>
        <w:gridCol w:w="2916"/>
      </w:tblGrid>
      <w:tr w:rsidR="009649D8">
        <w:trPr>
          <w:trHeight w:val="210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9D8" w:rsidRDefault="0096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14228</w:t>
            </w:r>
          </w:p>
        </w:tc>
      </w:tr>
    </w:tbl>
    <w:p w:rsidR="009649D8" w:rsidRDefault="00984EC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Примечание: должность «Советник директора по воспитанию и взаимодействию с детскими общественными объединениями» установлена в соответствии с Постановлением Правительства Российской Федерации от 21.02.2022 года № 255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F427E4" w:rsidRDefault="00F427E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400844" w:rsidRDefault="0040084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6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группы должностей медицинских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фармацевтических работников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должностей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медицинских  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фармацевтических работников,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отнесенных к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профессиональным  квалификационным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группам должностей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медицинских и фармацевтических работников, установлен приказом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Министерства  здравоохранения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социального развития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Российской Федерации от 06.08.2007 года №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526  «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Об утверждении профессиональных  квалификационных групп должностей</w:t>
      </w:r>
    </w:p>
    <w:p w:rsidR="009649D8" w:rsidRDefault="00984E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медицинских и фармацевтических работников»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796"/>
        <w:gridCol w:w="3556"/>
      </w:tblGrid>
      <w:tr w:rsidR="009649D8">
        <w:trPr>
          <w:trHeight w:val="65"/>
        </w:trPr>
        <w:tc>
          <w:tcPr>
            <w:tcW w:w="5000" w:type="pct"/>
            <w:gridSpan w:val="2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«Средний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медицинский  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фармацевтический персонал»</w:t>
            </w:r>
          </w:p>
        </w:tc>
      </w:tr>
      <w:tr w:rsidR="009649D8">
        <w:trPr>
          <w:trHeight w:val="70"/>
        </w:trPr>
        <w:tc>
          <w:tcPr>
            <w:tcW w:w="3099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01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>
        <w:trPr>
          <w:trHeight w:val="210"/>
        </w:trPr>
        <w:tc>
          <w:tcPr>
            <w:tcW w:w="3099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901" w:type="pct"/>
            <w:shd w:val="clear" w:color="auto" w:fill="FFFFFF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4333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2744A6" w:rsidRDefault="002744A6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7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F427E4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выплат стимулирующего характера,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устанавливаемых работникам Управления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оплата труда которых осуществлялась на основе Единой тарифной сетки,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 также заместителям руководителя, главным бухгалтерам,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специалистам, служащим,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вспомогательному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персоналу, рабочим муниципальных учреждений,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6"/>
        <w:gridCol w:w="8679"/>
      </w:tblGrid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>
        <w:tc>
          <w:tcPr>
            <w:tcW w:w="666" w:type="dxa"/>
          </w:tcPr>
          <w:p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>
        <w:tc>
          <w:tcPr>
            <w:tcW w:w="666" w:type="dxa"/>
          </w:tcPr>
          <w:p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CB2EDE">
        <w:tc>
          <w:tcPr>
            <w:tcW w:w="666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79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CB2EDE">
        <w:tc>
          <w:tcPr>
            <w:tcW w:w="666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79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CB2EDE">
        <w:tc>
          <w:tcPr>
            <w:tcW w:w="666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CB2EDE">
        <w:tc>
          <w:tcPr>
            <w:tcW w:w="666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CB2EDE">
        <w:tc>
          <w:tcPr>
            <w:tcW w:w="666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79" w:type="dxa"/>
          </w:tcPr>
          <w:p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непрерывный стаж работы, выслугу лет, за общий стаж работы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8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F427E4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выплат стимулирующего характера,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устанавливаемых педагогическим работникам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муниципальных учреждений, подведомственных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Управлению образования Карталинского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>. Учреждения, реализующие программы общего образования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6"/>
        <w:gridCol w:w="8679"/>
      </w:tblGrid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</w:t>
            </w:r>
            <w:proofErr w:type="gramStart"/>
            <w:r>
              <w:rPr>
                <w:sz w:val="28"/>
                <w:szCs w:val="28"/>
              </w:rPr>
              <w:t>интенсивность  и</w:t>
            </w:r>
            <w:proofErr w:type="gramEnd"/>
            <w:r>
              <w:rPr>
                <w:sz w:val="28"/>
                <w:szCs w:val="28"/>
              </w:rPr>
              <w:t xml:space="preserve"> высокие результаты работы</w:t>
            </w:r>
          </w:p>
        </w:tc>
      </w:tr>
      <w:tr w:rsidR="009649D8">
        <w:tc>
          <w:tcPr>
            <w:tcW w:w="666" w:type="dxa"/>
          </w:tcPr>
          <w:p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>
        <w:tc>
          <w:tcPr>
            <w:tcW w:w="666" w:type="dxa"/>
          </w:tcPr>
          <w:p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>
        <w:tc>
          <w:tcPr>
            <w:tcW w:w="666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675F"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молодым специалистам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молодым специалистам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 молодым специалистам</w:t>
            </w:r>
          </w:p>
        </w:tc>
      </w:tr>
      <w:tr w:rsidR="0025675F">
        <w:tc>
          <w:tcPr>
            <w:tcW w:w="666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79" w:type="dxa"/>
          </w:tcPr>
          <w:p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</w:t>
            </w:r>
            <w:r w:rsidRPr="0025675F">
              <w:rPr>
                <w:sz w:val="28"/>
                <w:szCs w:val="28"/>
              </w:rPr>
              <w:t>советнику директора по воспитанию и взаимодействию с детскими общественными объединениями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>. Учреждения дополнительного образования детей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370196">
        <w:tc>
          <w:tcPr>
            <w:tcW w:w="594" w:type="dxa"/>
          </w:tcPr>
          <w:p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1" w:type="dxa"/>
          </w:tcPr>
          <w:p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молодым специалистам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</w:t>
            </w:r>
          </w:p>
        </w:tc>
      </w:tr>
    </w:tbl>
    <w:p w:rsidR="002744A6" w:rsidRDefault="00274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2744A6" w:rsidRDefault="00274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III. Учреждения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дошкольного  образования</w:t>
      </w:r>
      <w:proofErr w:type="gramEnd"/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динамику состояний здоровья воспитанников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использование в образовательном процессе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 (физкультминутки)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авторские программы разного типа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снижение частоты обоснованных обращений родителей, педагогов по поводу конфликтных ситуаций и высокий уровень решения конфликтных ситуаций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образцовое содержание кабинетов, групповых комнат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высокий уровень исполнительской дисциплины (подготовка отчетов)</w:t>
            </w:r>
          </w:p>
        </w:tc>
      </w:tr>
      <w:tr w:rsidR="00370196">
        <w:tc>
          <w:tcPr>
            <w:tcW w:w="594" w:type="dxa"/>
          </w:tcPr>
          <w:p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1" w:type="dxa"/>
          </w:tcPr>
          <w:p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 xml:space="preserve">Премиальные выплаты по итогам работы (за месяц, квартал, </w:t>
            </w:r>
            <w:r w:rsidRPr="00370196">
              <w:rPr>
                <w:sz w:val="28"/>
                <w:szCs w:val="28"/>
              </w:rPr>
              <w:lastRenderedPageBreak/>
              <w:t>полугодие, год)</w:t>
            </w:r>
          </w:p>
        </w:tc>
      </w:tr>
      <w:tr w:rsidR="009649D8">
        <w:tc>
          <w:tcPr>
            <w:tcW w:w="594" w:type="dxa"/>
          </w:tcPr>
          <w:p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молодым специалистам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</w:t>
            </w:r>
          </w:p>
        </w:tc>
      </w:tr>
      <w:tr w:rsidR="00370196">
        <w:tc>
          <w:tcPr>
            <w:tcW w:w="594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/>
          <w:sz w:val="28"/>
          <w:szCs w:val="28"/>
        </w:rPr>
        <w:t xml:space="preserve">. Иные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учреждения,  подведомственные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Управлению образования Карталинского муниципального </w:t>
      </w:r>
      <w:r w:rsid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за исключением учреждений, указанных в разделах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настоящего приложения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</w:tblGrid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>
        <w:tc>
          <w:tcPr>
            <w:tcW w:w="675" w:type="dxa"/>
          </w:tcPr>
          <w:p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</w:t>
            </w:r>
            <w:proofErr w:type="gramStart"/>
            <w:r>
              <w:rPr>
                <w:sz w:val="28"/>
                <w:szCs w:val="28"/>
              </w:rPr>
              <w:t>за  педагогический</w:t>
            </w:r>
            <w:proofErr w:type="gramEnd"/>
            <w:r>
              <w:rPr>
                <w:sz w:val="28"/>
                <w:szCs w:val="28"/>
              </w:rPr>
              <w:t xml:space="preserve">  стаж работы</w:t>
            </w:r>
          </w:p>
        </w:tc>
      </w:tr>
      <w:tr w:rsidR="009649D8">
        <w:tc>
          <w:tcPr>
            <w:tcW w:w="675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</w:tbl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9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выплат стимулирующего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характера,  устанавливаемых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руководителям муниципальных учреждений, подведомственных Управлению</w:t>
      </w:r>
    </w:p>
    <w:p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образования Карталинского муниципального </w:t>
      </w:r>
      <w:r w:rsid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tbl>
      <w:tblPr>
        <w:tblStyle w:val="11"/>
        <w:tblW w:w="9747" w:type="dxa"/>
        <w:tblLook w:val="04A0" w:firstRow="1" w:lastRow="0" w:firstColumn="1" w:lastColumn="0" w:noHBand="0" w:noVBand="1"/>
      </w:tblPr>
      <w:tblGrid>
        <w:gridCol w:w="594"/>
        <w:gridCol w:w="9153"/>
      </w:tblGrid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9153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>
        <w:tc>
          <w:tcPr>
            <w:tcW w:w="594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153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>
        <w:tc>
          <w:tcPr>
            <w:tcW w:w="594" w:type="dxa"/>
          </w:tcPr>
          <w:p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9153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филиалов, отделений, структурных подразделений, расположенных вне места нахождения учреждения</w:t>
            </w:r>
          </w:p>
        </w:tc>
      </w:tr>
      <w:tr w:rsidR="009649D8">
        <w:tc>
          <w:tcPr>
            <w:tcW w:w="594" w:type="dxa"/>
          </w:tcPr>
          <w:p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9153" w:type="dxa"/>
          </w:tcPr>
          <w:p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непрерывный стаж работы, выслугу лет, за общий стаж работы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6B51D6">
        <w:tc>
          <w:tcPr>
            <w:tcW w:w="594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9153" w:type="dxa"/>
          </w:tcPr>
          <w:p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</w:tbl>
    <w:p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sectPr w:rsidR="009649D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49B" w:rsidRDefault="00F6649B">
      <w:pPr>
        <w:spacing w:line="240" w:lineRule="auto"/>
      </w:pPr>
      <w:r>
        <w:separator/>
      </w:r>
    </w:p>
  </w:endnote>
  <w:endnote w:type="continuationSeparator" w:id="0">
    <w:p w:rsidR="00F6649B" w:rsidRDefault="00F66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49B" w:rsidRDefault="00F6649B">
      <w:pPr>
        <w:spacing w:after="0"/>
      </w:pPr>
      <w:r>
        <w:separator/>
      </w:r>
    </w:p>
  </w:footnote>
  <w:footnote w:type="continuationSeparator" w:id="0">
    <w:p w:rsidR="00F6649B" w:rsidRDefault="00F664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579"/>
      <w:docPartObj>
        <w:docPartGallery w:val="AutoText"/>
      </w:docPartObj>
    </w:sdtPr>
    <w:sdtContent>
      <w:p w:rsidR="00107F6D" w:rsidRDefault="00107F6D">
        <w:pPr>
          <w:pStyle w:val="a8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F8"/>
    <w:rsid w:val="0000262E"/>
    <w:rsid w:val="00015C2B"/>
    <w:rsid w:val="000202C1"/>
    <w:rsid w:val="00020B4D"/>
    <w:rsid w:val="00033F22"/>
    <w:rsid w:val="00036D90"/>
    <w:rsid w:val="000673D1"/>
    <w:rsid w:val="00083231"/>
    <w:rsid w:val="00084DF2"/>
    <w:rsid w:val="000A078C"/>
    <w:rsid w:val="000F5DCE"/>
    <w:rsid w:val="00107F6D"/>
    <w:rsid w:val="00116E1D"/>
    <w:rsid w:val="001206AD"/>
    <w:rsid w:val="0014125D"/>
    <w:rsid w:val="00152297"/>
    <w:rsid w:val="00155302"/>
    <w:rsid w:val="00164537"/>
    <w:rsid w:val="001740BC"/>
    <w:rsid w:val="001861A8"/>
    <w:rsid w:val="001B1DA1"/>
    <w:rsid w:val="001C1801"/>
    <w:rsid w:val="001C2CDC"/>
    <w:rsid w:val="001D7F32"/>
    <w:rsid w:val="001F5525"/>
    <w:rsid w:val="00216DF8"/>
    <w:rsid w:val="00223523"/>
    <w:rsid w:val="00224048"/>
    <w:rsid w:val="0025675F"/>
    <w:rsid w:val="002744A6"/>
    <w:rsid w:val="0028018E"/>
    <w:rsid w:val="00284D41"/>
    <w:rsid w:val="002970C0"/>
    <w:rsid w:val="002B69DF"/>
    <w:rsid w:val="002E4931"/>
    <w:rsid w:val="002E5C03"/>
    <w:rsid w:val="002F38E6"/>
    <w:rsid w:val="00310682"/>
    <w:rsid w:val="00314603"/>
    <w:rsid w:val="003351CC"/>
    <w:rsid w:val="00336EA1"/>
    <w:rsid w:val="00370196"/>
    <w:rsid w:val="0038267D"/>
    <w:rsid w:val="00382A7C"/>
    <w:rsid w:val="00384720"/>
    <w:rsid w:val="00396D2C"/>
    <w:rsid w:val="00396F39"/>
    <w:rsid w:val="003A1ACB"/>
    <w:rsid w:val="003B12AC"/>
    <w:rsid w:val="003D1DA2"/>
    <w:rsid w:val="003D3E35"/>
    <w:rsid w:val="003F62CB"/>
    <w:rsid w:val="00400844"/>
    <w:rsid w:val="0040133A"/>
    <w:rsid w:val="00407102"/>
    <w:rsid w:val="0041607F"/>
    <w:rsid w:val="00460739"/>
    <w:rsid w:val="00465352"/>
    <w:rsid w:val="00477D74"/>
    <w:rsid w:val="00482386"/>
    <w:rsid w:val="004A026A"/>
    <w:rsid w:val="004B7BAD"/>
    <w:rsid w:val="004C070E"/>
    <w:rsid w:val="004C3A6A"/>
    <w:rsid w:val="004D3C97"/>
    <w:rsid w:val="004F4E22"/>
    <w:rsid w:val="00504E2D"/>
    <w:rsid w:val="00507A3D"/>
    <w:rsid w:val="00515056"/>
    <w:rsid w:val="005228BF"/>
    <w:rsid w:val="00540922"/>
    <w:rsid w:val="00563ADE"/>
    <w:rsid w:val="0056465B"/>
    <w:rsid w:val="005759A5"/>
    <w:rsid w:val="00585481"/>
    <w:rsid w:val="005A122B"/>
    <w:rsid w:val="005C5AFF"/>
    <w:rsid w:val="006225E6"/>
    <w:rsid w:val="0064727D"/>
    <w:rsid w:val="006657B1"/>
    <w:rsid w:val="0067155C"/>
    <w:rsid w:val="006958FF"/>
    <w:rsid w:val="006B51D6"/>
    <w:rsid w:val="006B5D5A"/>
    <w:rsid w:val="006E4D13"/>
    <w:rsid w:val="006F0A80"/>
    <w:rsid w:val="006F4DDE"/>
    <w:rsid w:val="007051AD"/>
    <w:rsid w:val="0072519A"/>
    <w:rsid w:val="00797656"/>
    <w:rsid w:val="007A51A1"/>
    <w:rsid w:val="007A7FD5"/>
    <w:rsid w:val="007C4016"/>
    <w:rsid w:val="007E6E33"/>
    <w:rsid w:val="0081289A"/>
    <w:rsid w:val="00822F67"/>
    <w:rsid w:val="00836400"/>
    <w:rsid w:val="00877B89"/>
    <w:rsid w:val="00892939"/>
    <w:rsid w:val="008A5943"/>
    <w:rsid w:val="008D4CB9"/>
    <w:rsid w:val="008E016B"/>
    <w:rsid w:val="00905F09"/>
    <w:rsid w:val="00914D01"/>
    <w:rsid w:val="0091518B"/>
    <w:rsid w:val="00937252"/>
    <w:rsid w:val="00953A18"/>
    <w:rsid w:val="00957595"/>
    <w:rsid w:val="009649D8"/>
    <w:rsid w:val="00984EC1"/>
    <w:rsid w:val="009E2C3E"/>
    <w:rsid w:val="009F1232"/>
    <w:rsid w:val="00A00464"/>
    <w:rsid w:val="00A0746F"/>
    <w:rsid w:val="00A20591"/>
    <w:rsid w:val="00A30E8C"/>
    <w:rsid w:val="00A47174"/>
    <w:rsid w:val="00A577C6"/>
    <w:rsid w:val="00A61178"/>
    <w:rsid w:val="00A72EEE"/>
    <w:rsid w:val="00A84263"/>
    <w:rsid w:val="00A916F0"/>
    <w:rsid w:val="00AA3176"/>
    <w:rsid w:val="00AC2650"/>
    <w:rsid w:val="00AC4279"/>
    <w:rsid w:val="00AE4ACD"/>
    <w:rsid w:val="00AF06D8"/>
    <w:rsid w:val="00B20C0A"/>
    <w:rsid w:val="00B3584A"/>
    <w:rsid w:val="00B542C5"/>
    <w:rsid w:val="00B60AC5"/>
    <w:rsid w:val="00B612E2"/>
    <w:rsid w:val="00B62559"/>
    <w:rsid w:val="00B7084E"/>
    <w:rsid w:val="00BB2BF8"/>
    <w:rsid w:val="00BF7740"/>
    <w:rsid w:val="00C008B2"/>
    <w:rsid w:val="00C00B50"/>
    <w:rsid w:val="00C0117F"/>
    <w:rsid w:val="00C14C07"/>
    <w:rsid w:val="00C27DDA"/>
    <w:rsid w:val="00C50B08"/>
    <w:rsid w:val="00CB0C3A"/>
    <w:rsid w:val="00CB2EDE"/>
    <w:rsid w:val="00CC0CA3"/>
    <w:rsid w:val="00CD5876"/>
    <w:rsid w:val="00CE2030"/>
    <w:rsid w:val="00CF214C"/>
    <w:rsid w:val="00D306D1"/>
    <w:rsid w:val="00D37DD3"/>
    <w:rsid w:val="00D80D6F"/>
    <w:rsid w:val="00D90313"/>
    <w:rsid w:val="00DA1CD8"/>
    <w:rsid w:val="00DB267E"/>
    <w:rsid w:val="00DB3BAC"/>
    <w:rsid w:val="00E1799A"/>
    <w:rsid w:val="00E24F1E"/>
    <w:rsid w:val="00E37134"/>
    <w:rsid w:val="00E42778"/>
    <w:rsid w:val="00E44C4E"/>
    <w:rsid w:val="00E451C4"/>
    <w:rsid w:val="00E66B02"/>
    <w:rsid w:val="00E9103E"/>
    <w:rsid w:val="00E9397B"/>
    <w:rsid w:val="00ED5D29"/>
    <w:rsid w:val="00EE008C"/>
    <w:rsid w:val="00EE5F62"/>
    <w:rsid w:val="00F2000F"/>
    <w:rsid w:val="00F355D7"/>
    <w:rsid w:val="00F427E4"/>
    <w:rsid w:val="00F529D9"/>
    <w:rsid w:val="00F5362E"/>
    <w:rsid w:val="00F60529"/>
    <w:rsid w:val="00F6436A"/>
    <w:rsid w:val="00F6649B"/>
    <w:rsid w:val="00F705D9"/>
    <w:rsid w:val="00F73D85"/>
    <w:rsid w:val="00F74538"/>
    <w:rsid w:val="00FB2394"/>
    <w:rsid w:val="00FC4110"/>
    <w:rsid w:val="00FD69EE"/>
    <w:rsid w:val="00FE4646"/>
    <w:rsid w:val="00FF0B6B"/>
    <w:rsid w:val="00FF3DD3"/>
    <w:rsid w:val="719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4E95"/>
  <w15:docId w15:val="{47F4C311-78B9-40B1-A70F-FF83F40B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Pr>
      <w:i/>
      <w:iCs/>
      <w:color w:val="auto"/>
    </w:rPr>
  </w:style>
  <w:style w:type="character" w:styleId="a4">
    <w:name w:val="Strong"/>
    <w:basedOn w:val="a0"/>
    <w:uiPriority w:val="22"/>
    <w:qFormat/>
    <w:locked/>
    <w:rPr>
      <w:b/>
      <w:bCs/>
      <w:color w:val="auto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locked/>
    <w:rPr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locked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basedOn w:val="a"/>
    <w:next w:val="a"/>
    <w:link w:val="af"/>
    <w:uiPriority w:val="11"/>
    <w:qFormat/>
    <w:locked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uiPriority w:val="1"/>
    <w:qFormat/>
    <w:pPr>
      <w:jc w:val="both"/>
    </w:pPr>
    <w:rPr>
      <w:sz w:val="22"/>
      <w:szCs w:val="22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i/>
      <w:iCs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4">
    <w:name w:val="Выделенная цитата Знак"/>
    <w:basedOn w:val="a0"/>
    <w:link w:val="af3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auto"/>
    </w:rPr>
  </w:style>
  <w:style w:type="character" w:customStyle="1" w:styleId="13">
    <w:name w:val="Сильное выделение1"/>
    <w:basedOn w:val="a0"/>
    <w:uiPriority w:val="21"/>
    <w:qFormat/>
    <w:rPr>
      <w:b/>
      <w:bCs/>
      <w:i/>
      <w:iCs/>
      <w:color w:val="auto"/>
    </w:rPr>
  </w:style>
  <w:style w:type="character" w:customStyle="1" w:styleId="14">
    <w:name w:val="Слабая ссылка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6">
    <w:name w:val="Название книги1"/>
    <w:basedOn w:val="a0"/>
    <w:uiPriority w:val="33"/>
    <w:qFormat/>
    <w:rPr>
      <w:b/>
      <w:bCs/>
      <w:smallCaps/>
      <w:color w:val="auto"/>
    </w:rPr>
  </w:style>
  <w:style w:type="paragraph" w:customStyle="1" w:styleId="17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8EF32-5AC3-4DB2-A35F-B7E3E0B45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28</Pages>
  <Words>6884</Words>
  <Characters>39244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2026-02-17T03:28:00Z</cp:lastPrinted>
  <dcterms:created xsi:type="dcterms:W3CDTF">2026-02-16T15:57:00Z</dcterms:created>
  <dcterms:modified xsi:type="dcterms:W3CDTF">2026-02-26T03:55:00Z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B53BF4529BDC41B19E5245E1B338261E_12</vt:lpwstr>
  </property>
</Properties>
</file>